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CD46" w14:textId="77777777" w:rsidR="002E633F" w:rsidRPr="00B85CF2" w:rsidRDefault="002E633F" w:rsidP="003767E9">
      <w:pPr>
        <w:pStyle w:val="Cabealho"/>
        <w:jc w:val="center"/>
        <w:rPr>
          <w:rFonts w:ascii="Lucida Handwriting" w:hAnsi="Lucida Handwriting"/>
          <w:b/>
          <w:bCs/>
          <w:sz w:val="32"/>
          <w:szCs w:val="32"/>
        </w:rPr>
      </w:pPr>
      <w:r w:rsidRPr="00B85CF2">
        <w:rPr>
          <w:rFonts w:ascii="Lucida Handwriting" w:hAnsi="Lucida Handwriting"/>
          <w:b/>
          <w:bCs/>
          <w:sz w:val="32"/>
          <w:szCs w:val="32"/>
        </w:rPr>
        <w:t>Luciano Limírio de Carvalho</w:t>
      </w:r>
    </w:p>
    <w:p w14:paraId="6AE8A9E7" w14:textId="77777777" w:rsidR="002E633F" w:rsidRPr="00B85CF2" w:rsidRDefault="002E633F" w:rsidP="003767E9">
      <w:pPr>
        <w:pStyle w:val="Cabealho"/>
        <w:jc w:val="center"/>
        <w:rPr>
          <w:rFonts w:ascii="Lucida Handwriting" w:hAnsi="Lucida Handwriting"/>
          <w:b/>
          <w:bCs/>
          <w:sz w:val="32"/>
          <w:szCs w:val="32"/>
        </w:rPr>
      </w:pPr>
      <w:r w:rsidRPr="00B85CF2">
        <w:rPr>
          <w:rFonts w:ascii="Lucida Handwriting" w:hAnsi="Lucida Handwriting"/>
          <w:b/>
          <w:bCs/>
          <w:sz w:val="32"/>
          <w:szCs w:val="32"/>
        </w:rPr>
        <w:t>Procurador do Legislativo</w:t>
      </w:r>
    </w:p>
    <w:p w14:paraId="7ACAFAF3" w14:textId="77777777" w:rsidR="002E633F" w:rsidRDefault="002E633F" w:rsidP="003767E9">
      <w:pPr>
        <w:spacing w:line="240" w:lineRule="auto"/>
        <w:jc w:val="center"/>
        <w:rPr>
          <w:rFonts w:cstheme="minorHAnsi"/>
          <w:b/>
          <w:bCs/>
          <w:sz w:val="24"/>
          <w:szCs w:val="24"/>
        </w:rPr>
      </w:pPr>
      <w:r w:rsidRPr="002F7236">
        <w:rPr>
          <w:rFonts w:cstheme="minorHAnsi"/>
          <w:b/>
          <w:bCs/>
          <w:sz w:val="24"/>
          <w:szCs w:val="24"/>
        </w:rPr>
        <w:t>OAB/</w:t>
      </w:r>
      <w:proofErr w:type="gramStart"/>
      <w:r w:rsidRPr="002F7236">
        <w:rPr>
          <w:rFonts w:cstheme="minorHAnsi"/>
          <w:b/>
          <w:bCs/>
          <w:sz w:val="24"/>
          <w:szCs w:val="24"/>
        </w:rPr>
        <w:t>MG  52.672</w:t>
      </w:r>
      <w:proofErr w:type="gramEnd"/>
      <w:r w:rsidRPr="002F7236">
        <w:rPr>
          <w:rFonts w:cstheme="minorHAnsi"/>
          <w:b/>
          <w:bCs/>
          <w:sz w:val="24"/>
          <w:szCs w:val="24"/>
        </w:rPr>
        <w:t xml:space="preserve"> – CPF. 302.083.946-72</w:t>
      </w:r>
    </w:p>
    <w:p w14:paraId="32072159" w14:textId="77777777" w:rsidR="003767E9" w:rsidRDefault="003767E9" w:rsidP="003767E9">
      <w:pPr>
        <w:spacing w:line="240" w:lineRule="auto"/>
        <w:jc w:val="center"/>
        <w:rPr>
          <w:rFonts w:cstheme="minorHAnsi"/>
          <w:b/>
          <w:bCs/>
          <w:sz w:val="24"/>
          <w:szCs w:val="24"/>
        </w:rPr>
      </w:pPr>
    </w:p>
    <w:p w14:paraId="79734A00" w14:textId="20639231" w:rsidR="003767E9" w:rsidRPr="003767E9" w:rsidRDefault="003767E9" w:rsidP="003767E9">
      <w:pPr>
        <w:spacing w:line="240" w:lineRule="auto"/>
        <w:jc w:val="both"/>
        <w:rPr>
          <w:rFonts w:cstheme="minorHAnsi"/>
          <w:sz w:val="25"/>
          <w:szCs w:val="25"/>
        </w:rPr>
      </w:pPr>
      <w:r w:rsidRPr="003767E9">
        <w:rPr>
          <w:rFonts w:cstheme="minorHAnsi"/>
          <w:b/>
          <w:bCs/>
          <w:sz w:val="25"/>
          <w:szCs w:val="25"/>
        </w:rPr>
        <w:t>PARECER Nº:  3.33</w:t>
      </w:r>
      <w:r>
        <w:rPr>
          <w:rFonts w:cstheme="minorHAnsi"/>
          <w:b/>
          <w:bCs/>
          <w:sz w:val="25"/>
          <w:szCs w:val="25"/>
        </w:rPr>
        <w:t>4</w:t>
      </w:r>
      <w:r w:rsidRPr="003767E9">
        <w:rPr>
          <w:rFonts w:cstheme="minorHAnsi"/>
          <w:b/>
          <w:bCs/>
          <w:sz w:val="25"/>
          <w:szCs w:val="25"/>
        </w:rPr>
        <w:t>/2026</w:t>
      </w:r>
    </w:p>
    <w:p w14:paraId="082C024D" w14:textId="26EC1BB9" w:rsidR="003767E9" w:rsidRPr="003767E9" w:rsidRDefault="003767E9" w:rsidP="003767E9">
      <w:pPr>
        <w:spacing w:line="240" w:lineRule="auto"/>
        <w:jc w:val="both"/>
        <w:rPr>
          <w:rFonts w:cstheme="minorHAnsi"/>
          <w:sz w:val="25"/>
          <w:szCs w:val="25"/>
        </w:rPr>
      </w:pPr>
      <w:r w:rsidRPr="003767E9">
        <w:rPr>
          <w:rFonts w:cstheme="minorHAnsi"/>
          <w:b/>
          <w:bCs/>
          <w:sz w:val="25"/>
          <w:szCs w:val="25"/>
        </w:rPr>
        <w:t>ASSUNTO</w:t>
      </w:r>
      <w:r w:rsidRPr="003767E9">
        <w:rPr>
          <w:rFonts w:cstheme="minorHAnsi"/>
          <w:sz w:val="25"/>
          <w:szCs w:val="25"/>
        </w:rPr>
        <w:t xml:space="preserve">: Autoriza o Município de Monte Carmelo a celebrar Convênio com a Associação de Pais e Amigos dos Excepcionais de Monte Carmelo-APAE, para repasse e recursos financeiros na forma que especifica.                   </w:t>
      </w:r>
    </w:p>
    <w:p w14:paraId="6F6F8610" w14:textId="02910F6E" w:rsidR="003767E9" w:rsidRPr="003767E9" w:rsidRDefault="003767E9" w:rsidP="003767E9">
      <w:pPr>
        <w:spacing w:line="240" w:lineRule="auto"/>
        <w:jc w:val="both"/>
        <w:rPr>
          <w:rFonts w:cstheme="minorHAnsi"/>
          <w:sz w:val="25"/>
          <w:szCs w:val="25"/>
        </w:rPr>
      </w:pPr>
      <w:r w:rsidRPr="003767E9">
        <w:rPr>
          <w:rFonts w:cstheme="minorHAnsi"/>
          <w:b/>
          <w:bCs/>
          <w:sz w:val="25"/>
          <w:szCs w:val="25"/>
        </w:rPr>
        <w:t>CONSULTA</w:t>
      </w:r>
      <w:r w:rsidRPr="003767E9">
        <w:rPr>
          <w:rFonts w:cstheme="minorHAnsi"/>
          <w:sz w:val="25"/>
          <w:szCs w:val="25"/>
        </w:rPr>
        <w:t xml:space="preserve">: Consulta-nos o Presidente da Câmara Municipal de Monte Carmelo, a respeito do </w:t>
      </w:r>
      <w:r w:rsidRPr="003767E9">
        <w:rPr>
          <w:rFonts w:cstheme="minorHAnsi"/>
          <w:b/>
          <w:bCs/>
          <w:sz w:val="25"/>
          <w:szCs w:val="25"/>
        </w:rPr>
        <w:t>Projeto de Lei nº 4.76</w:t>
      </w:r>
      <w:r w:rsidRPr="003767E9">
        <w:rPr>
          <w:rFonts w:cstheme="minorHAnsi"/>
          <w:b/>
          <w:bCs/>
          <w:sz w:val="25"/>
          <w:szCs w:val="25"/>
        </w:rPr>
        <w:t>2</w:t>
      </w:r>
      <w:r w:rsidRPr="003767E9">
        <w:rPr>
          <w:rFonts w:cstheme="minorHAnsi"/>
          <w:b/>
          <w:bCs/>
          <w:sz w:val="25"/>
          <w:szCs w:val="25"/>
        </w:rPr>
        <w:t>/2026</w:t>
      </w:r>
      <w:r w:rsidRPr="003767E9">
        <w:rPr>
          <w:rFonts w:cstheme="minorHAnsi"/>
          <w:sz w:val="25"/>
          <w:szCs w:val="25"/>
        </w:rPr>
        <w:t>, que almeja autorização para convênio com a Associação de Pais e Amigos dos Excepcionais de Monte Carmelo-APAE, para repasse e recursos financeiros na forma que especifica.</w:t>
      </w:r>
      <w:r w:rsidRPr="003767E9">
        <w:rPr>
          <w:rFonts w:cstheme="minorHAnsi"/>
          <w:sz w:val="25"/>
          <w:szCs w:val="25"/>
        </w:rPr>
        <w:tab/>
      </w:r>
      <w:r w:rsidRPr="003767E9">
        <w:rPr>
          <w:rFonts w:cstheme="minorHAnsi"/>
          <w:sz w:val="25"/>
          <w:szCs w:val="25"/>
        </w:rPr>
        <w:tab/>
      </w:r>
    </w:p>
    <w:p w14:paraId="04E92A6B" w14:textId="152E0570" w:rsidR="003767E9" w:rsidRPr="003767E9" w:rsidRDefault="003767E9" w:rsidP="003767E9">
      <w:pPr>
        <w:spacing w:line="240" w:lineRule="auto"/>
        <w:jc w:val="both"/>
        <w:rPr>
          <w:rFonts w:cstheme="minorHAnsi"/>
          <w:sz w:val="25"/>
          <w:szCs w:val="25"/>
        </w:rPr>
      </w:pPr>
      <w:r w:rsidRPr="003767E9">
        <w:rPr>
          <w:rFonts w:cstheme="minorHAnsi"/>
          <w:b/>
          <w:bCs/>
          <w:sz w:val="25"/>
          <w:szCs w:val="25"/>
        </w:rPr>
        <w:t xml:space="preserve">1 </w:t>
      </w:r>
      <w:proofErr w:type="gramStart"/>
      <w:r w:rsidRPr="003767E9">
        <w:rPr>
          <w:rFonts w:cstheme="minorHAnsi"/>
          <w:b/>
          <w:bCs/>
          <w:sz w:val="25"/>
          <w:szCs w:val="25"/>
        </w:rPr>
        <w:t>-  DO</w:t>
      </w:r>
      <w:proofErr w:type="gramEnd"/>
      <w:r w:rsidRPr="003767E9">
        <w:rPr>
          <w:rFonts w:cstheme="minorHAnsi"/>
          <w:b/>
          <w:bCs/>
          <w:sz w:val="25"/>
          <w:szCs w:val="25"/>
        </w:rPr>
        <w:t xml:space="preserve"> PARECER JURÍDICO</w:t>
      </w:r>
    </w:p>
    <w:p w14:paraId="000CF117"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ab/>
        <w:t xml:space="preserve">No âmbito jurídico, sobretudo na Administração Pública, o parecer jurídico surge, na maioria das vezes, de uma consulta realizada por órgãos ou agentes públicos e a opinião dos parecerista exterioriza-se a partir da emissão do respectivo parecer, do qual, em regra, não vincula o administrador, possuindo este a discricionariedade de seguir a opinião disposta ou não. </w:t>
      </w:r>
    </w:p>
    <w:p w14:paraId="0B89A4E6" w14:textId="29AE0552" w:rsidR="003767E9" w:rsidRPr="003767E9" w:rsidRDefault="003767E9" w:rsidP="003767E9">
      <w:pPr>
        <w:spacing w:line="240" w:lineRule="auto"/>
        <w:jc w:val="both"/>
        <w:rPr>
          <w:rFonts w:cstheme="minorHAnsi"/>
          <w:sz w:val="25"/>
          <w:szCs w:val="25"/>
        </w:rPr>
      </w:pPr>
      <w:r w:rsidRPr="003767E9">
        <w:rPr>
          <w:rFonts w:cstheme="minorHAnsi"/>
          <w:sz w:val="25"/>
          <w:szCs w:val="25"/>
        </w:rPr>
        <w:tab/>
        <w:t xml:space="preserve">A insigne </w:t>
      </w:r>
      <w:r w:rsidRPr="003767E9">
        <w:rPr>
          <w:rFonts w:cstheme="minorHAnsi"/>
          <w:b/>
          <w:bCs/>
          <w:sz w:val="25"/>
          <w:szCs w:val="25"/>
        </w:rPr>
        <w:t>MARIA SYLVIA ZANELLA DI PIETRO</w:t>
      </w:r>
      <w:r w:rsidRPr="003767E9">
        <w:rPr>
          <w:rFonts w:cstheme="minorHAnsi"/>
          <w:sz w:val="25"/>
          <w:szCs w:val="25"/>
        </w:rPr>
        <w:t xml:space="preserve"> </w:t>
      </w:r>
      <w:r w:rsidRPr="003767E9">
        <w:rPr>
          <w:rFonts w:cstheme="minorHAnsi"/>
          <w:sz w:val="25"/>
          <w:szCs w:val="25"/>
        </w:rPr>
        <w:t xml:space="preserve">salienta da seguinte forma sobre o Parecer Jurídico: </w:t>
      </w:r>
    </w:p>
    <w:p w14:paraId="04BB551C" w14:textId="140EEBDD" w:rsidR="003767E9" w:rsidRPr="003767E9" w:rsidRDefault="003767E9" w:rsidP="003767E9">
      <w:pPr>
        <w:spacing w:line="240" w:lineRule="auto"/>
        <w:ind w:left="708"/>
        <w:jc w:val="both"/>
        <w:rPr>
          <w:rFonts w:cstheme="minorHAnsi"/>
          <w:sz w:val="25"/>
          <w:szCs w:val="25"/>
        </w:rPr>
      </w:pPr>
      <w:proofErr w:type="gramStart"/>
      <w:r w:rsidRPr="003767E9">
        <w:rPr>
          <w:rFonts w:cstheme="minorHAnsi"/>
          <w:sz w:val="25"/>
          <w:szCs w:val="25"/>
        </w:rPr>
        <w:t xml:space="preserve">“ </w:t>
      </w:r>
      <w:r w:rsidRPr="003767E9">
        <w:rPr>
          <w:rFonts w:cstheme="minorHAnsi"/>
          <w:b/>
          <w:bCs/>
          <w:sz w:val="25"/>
          <w:szCs w:val="25"/>
        </w:rPr>
        <w:t>O</w:t>
      </w:r>
      <w:proofErr w:type="gramEnd"/>
      <w:r w:rsidRPr="003767E9">
        <w:rPr>
          <w:rFonts w:cstheme="minorHAnsi"/>
          <w:b/>
          <w:bCs/>
          <w:sz w:val="25"/>
          <w:szCs w:val="25"/>
        </w:rPr>
        <w:t xml:space="preserve"> parecer não possui efeito normativo, por si mesmo [...]. É o despacho dessa autoridade que dá efeito normativo ao parecer</w:t>
      </w:r>
      <w:r w:rsidRPr="003767E9">
        <w:rPr>
          <w:rFonts w:cstheme="minorHAnsi"/>
          <w:sz w:val="25"/>
          <w:szCs w:val="25"/>
        </w:rPr>
        <w:t>”</w:t>
      </w:r>
    </w:p>
    <w:p w14:paraId="6096B190" w14:textId="14682306" w:rsidR="003767E9" w:rsidRPr="003767E9" w:rsidRDefault="003767E9" w:rsidP="003767E9">
      <w:pPr>
        <w:spacing w:line="240" w:lineRule="auto"/>
        <w:jc w:val="both"/>
        <w:rPr>
          <w:rFonts w:cstheme="minorHAnsi"/>
          <w:sz w:val="25"/>
          <w:szCs w:val="25"/>
        </w:rPr>
      </w:pPr>
      <w:r w:rsidRPr="003767E9">
        <w:rPr>
          <w:rFonts w:cstheme="minorHAnsi"/>
          <w:b/>
          <w:bCs/>
          <w:sz w:val="25"/>
          <w:szCs w:val="25"/>
        </w:rPr>
        <w:t>2 - DO PROJETO DE LEI Nº 4.76</w:t>
      </w:r>
      <w:r>
        <w:rPr>
          <w:rFonts w:cstheme="minorHAnsi"/>
          <w:b/>
          <w:bCs/>
          <w:sz w:val="25"/>
          <w:szCs w:val="25"/>
        </w:rPr>
        <w:t>2</w:t>
      </w:r>
      <w:r w:rsidRPr="003767E9">
        <w:rPr>
          <w:rFonts w:cstheme="minorHAnsi"/>
          <w:b/>
          <w:bCs/>
          <w:sz w:val="25"/>
          <w:szCs w:val="25"/>
        </w:rPr>
        <w:t>/2026</w:t>
      </w:r>
    </w:p>
    <w:p w14:paraId="6800C58E" w14:textId="6539EB41" w:rsidR="003767E9" w:rsidRDefault="003767E9" w:rsidP="003767E9">
      <w:pPr>
        <w:spacing w:line="240" w:lineRule="auto"/>
        <w:jc w:val="both"/>
        <w:rPr>
          <w:rFonts w:cstheme="minorHAnsi"/>
          <w:sz w:val="25"/>
          <w:szCs w:val="25"/>
        </w:rPr>
      </w:pPr>
      <w:r w:rsidRPr="003767E9">
        <w:rPr>
          <w:rFonts w:cstheme="minorHAnsi"/>
          <w:sz w:val="25"/>
          <w:szCs w:val="25"/>
        </w:rPr>
        <w:t xml:space="preserve">O </w:t>
      </w:r>
      <w:r w:rsidRPr="003767E9">
        <w:rPr>
          <w:rFonts w:cstheme="minorHAnsi"/>
          <w:b/>
          <w:bCs/>
          <w:sz w:val="25"/>
          <w:szCs w:val="25"/>
        </w:rPr>
        <w:t>Projeto de Lei nº 4.76</w:t>
      </w:r>
      <w:r w:rsidRPr="003767E9">
        <w:rPr>
          <w:rFonts w:cstheme="minorHAnsi"/>
          <w:b/>
          <w:bCs/>
          <w:sz w:val="25"/>
          <w:szCs w:val="25"/>
        </w:rPr>
        <w:t>2</w:t>
      </w:r>
      <w:r w:rsidRPr="003767E9">
        <w:rPr>
          <w:rFonts w:cstheme="minorHAnsi"/>
          <w:b/>
          <w:bCs/>
          <w:sz w:val="25"/>
          <w:szCs w:val="25"/>
        </w:rPr>
        <w:t>/2026</w:t>
      </w:r>
      <w:r w:rsidRPr="003767E9">
        <w:rPr>
          <w:rFonts w:cstheme="minorHAnsi"/>
          <w:sz w:val="25"/>
          <w:szCs w:val="25"/>
        </w:rPr>
        <w:t xml:space="preserve">, composto de três artigos, almeja a autorização ao Poder Executivo Municipal a celebração de termo de Convênio com a Associação de Pais e Amigos dos Excepcionais de Monte Carmelo-APAE, </w:t>
      </w:r>
      <w:r>
        <w:rPr>
          <w:rFonts w:cstheme="minorHAnsi"/>
          <w:sz w:val="25"/>
          <w:szCs w:val="25"/>
        </w:rPr>
        <w:t xml:space="preserve">para, de acordo com </w:t>
      </w:r>
      <w:r w:rsidRPr="003767E9">
        <w:rPr>
          <w:rFonts w:cstheme="minorHAnsi"/>
          <w:b/>
          <w:bCs/>
          <w:sz w:val="25"/>
          <w:szCs w:val="25"/>
        </w:rPr>
        <w:t>§ 1º do Art.1º do Projeto</w:t>
      </w:r>
      <w:r>
        <w:rPr>
          <w:rFonts w:cstheme="minorHAnsi"/>
          <w:sz w:val="25"/>
          <w:szCs w:val="25"/>
        </w:rPr>
        <w:t xml:space="preserve"> em análise, será para financiamento e execução do projeto de saúde e fortalecimento da Rede de Cuidado à pessoa com Deficiência visando </w:t>
      </w:r>
      <w:r w:rsidR="00E428D9">
        <w:rPr>
          <w:rFonts w:cstheme="minorHAnsi"/>
          <w:sz w:val="25"/>
          <w:szCs w:val="25"/>
        </w:rPr>
        <w:t>à aquisição de equipamentos e materiais permanentes.</w:t>
      </w:r>
    </w:p>
    <w:p w14:paraId="3C563144" w14:textId="1066F8E5" w:rsidR="003767E9" w:rsidRPr="003767E9" w:rsidRDefault="003767E9" w:rsidP="003767E9">
      <w:pPr>
        <w:spacing w:line="240" w:lineRule="auto"/>
        <w:jc w:val="both"/>
        <w:rPr>
          <w:rFonts w:cstheme="minorHAnsi"/>
          <w:sz w:val="25"/>
          <w:szCs w:val="25"/>
        </w:rPr>
      </w:pPr>
      <w:r w:rsidRPr="003767E9">
        <w:rPr>
          <w:rFonts w:cstheme="minorHAnsi"/>
          <w:sz w:val="25"/>
          <w:szCs w:val="25"/>
        </w:rPr>
        <w:t xml:space="preserve">Existem diferentes modalidades para os </w:t>
      </w:r>
      <w:r w:rsidRPr="003767E9">
        <w:rPr>
          <w:rFonts w:cstheme="minorHAnsi"/>
          <w:sz w:val="25"/>
          <w:szCs w:val="25"/>
        </w:rPr>
        <w:t>repasses e</w:t>
      </w:r>
      <w:r w:rsidRPr="003767E9">
        <w:rPr>
          <w:rFonts w:cstheme="minorHAnsi"/>
          <w:sz w:val="25"/>
          <w:szCs w:val="25"/>
        </w:rPr>
        <w:t xml:space="preserve"> um convênio é apenas uma delas, não sendo o único instrumento possível. Os repasses dependem do tipo de emenda e da forma como o parlamentar direciona os recursos.</w:t>
      </w:r>
    </w:p>
    <w:p w14:paraId="51ACDC09"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As principais modalidades de repasse para emendas parlamentares são: Convênio, Contrato de Repasse, Transferência especial (Emenda PIX) e Transferência com finalidades definidas.</w:t>
      </w:r>
    </w:p>
    <w:p w14:paraId="6F823968"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 xml:space="preserve">CONVÊNIO: No caso presente é o Convênio, que é um acordo firmado entre um órgão do governo federal (concedente) e outro ente federado (estado, município) ou uma entidade privada sem fins </w:t>
      </w:r>
      <w:r w:rsidRPr="003767E9">
        <w:rPr>
          <w:rFonts w:cstheme="minorHAnsi"/>
          <w:sz w:val="25"/>
          <w:szCs w:val="25"/>
        </w:rPr>
        <w:lastRenderedPageBreak/>
        <w:t>lucrativos (convenente) para a execução de um projeto ou atividade de interesse mútuo. Nesse caso, a União repassa a verba, e o convenente executa a ação e presta contas dos gastos. A celebração do convênio para o repasse de emendas, quando necessária, segue as regras estabelecidas na legislação.</w:t>
      </w:r>
    </w:p>
    <w:p w14:paraId="71E13973"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Os convênios, segundo a definição do saudoso mestre, PROF. HELY LOPES MEIRELLES:</w:t>
      </w:r>
    </w:p>
    <w:p w14:paraId="6865D58E" w14:textId="77777777" w:rsidR="003767E9" w:rsidRPr="003767E9" w:rsidRDefault="003767E9" w:rsidP="003767E9">
      <w:pPr>
        <w:spacing w:line="240" w:lineRule="auto"/>
        <w:jc w:val="both"/>
        <w:rPr>
          <w:rFonts w:cstheme="minorHAnsi"/>
          <w:sz w:val="25"/>
          <w:szCs w:val="25"/>
        </w:rPr>
      </w:pPr>
      <w:proofErr w:type="gramStart"/>
      <w:r w:rsidRPr="003767E9">
        <w:rPr>
          <w:rFonts w:cstheme="minorHAnsi"/>
          <w:sz w:val="25"/>
          <w:szCs w:val="25"/>
        </w:rPr>
        <w:t xml:space="preserve">“ </w:t>
      </w:r>
      <w:r w:rsidRPr="00E428D9">
        <w:rPr>
          <w:rFonts w:cstheme="minorHAnsi"/>
          <w:b/>
          <w:bCs/>
          <w:sz w:val="25"/>
          <w:szCs w:val="25"/>
        </w:rPr>
        <w:t>São</w:t>
      </w:r>
      <w:proofErr w:type="gramEnd"/>
      <w:r w:rsidRPr="00E428D9">
        <w:rPr>
          <w:rFonts w:cstheme="minorHAnsi"/>
          <w:b/>
          <w:bCs/>
          <w:sz w:val="25"/>
          <w:szCs w:val="25"/>
        </w:rPr>
        <w:t xml:space="preserve"> acordos firmados por entidades públicas de qualquer espécie ou entre </w:t>
      </w:r>
      <w:r w:rsidRPr="00E428D9">
        <w:rPr>
          <w:rFonts w:cstheme="minorHAnsi"/>
          <w:b/>
          <w:bCs/>
          <w:sz w:val="25"/>
          <w:szCs w:val="25"/>
        </w:rPr>
        <w:tab/>
        <w:t xml:space="preserve">estas e organizações particulares, para a realização de objetivos de interesse </w:t>
      </w:r>
      <w:r w:rsidRPr="00E428D9">
        <w:rPr>
          <w:rFonts w:cstheme="minorHAnsi"/>
          <w:b/>
          <w:bCs/>
          <w:sz w:val="25"/>
          <w:szCs w:val="25"/>
        </w:rPr>
        <w:tab/>
        <w:t>comum dos partícipes</w:t>
      </w:r>
      <w:r w:rsidRPr="003767E9">
        <w:rPr>
          <w:rFonts w:cstheme="minorHAnsi"/>
          <w:sz w:val="25"/>
          <w:szCs w:val="25"/>
        </w:rPr>
        <w:t xml:space="preserve">” </w:t>
      </w:r>
    </w:p>
    <w:p w14:paraId="25BE8E44"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Por representar acordos de interesses convergentes para fins comuns de interesse público, no campo da atividade de interesse público, estão no âmbito da função administrativa. Portanto, prescinde de autorização legislativa prévia para a respectiva assinatura pelo Chefe do Poder Executivo.</w:t>
      </w:r>
    </w:p>
    <w:p w14:paraId="1A648CD7"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A autorização deve ser específica e nunca genérica, pois trata-se de uma outorga de consentimento para a prática de determinado ato. Esse controle de consentimento, é efetivado em face de cada ato, pois somente após a constatação da legalidade e interesse público é que o legislativo deve manifestar-se favorável, constituindo-se tal autorização em um reflexo de freios e contrapesos que sedimenta o princípio da divisão dos poderes.</w:t>
      </w:r>
    </w:p>
    <w:p w14:paraId="1E7BC82F"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 xml:space="preserve">A </w:t>
      </w:r>
      <w:r w:rsidRPr="00E428D9">
        <w:rPr>
          <w:rFonts w:cstheme="minorHAnsi"/>
          <w:b/>
          <w:bCs/>
          <w:sz w:val="25"/>
          <w:szCs w:val="25"/>
        </w:rPr>
        <w:t>LEI ORGÂNICA DO MUNICÍPIO DE MONTE CARMELO</w:t>
      </w:r>
      <w:r w:rsidRPr="003767E9">
        <w:rPr>
          <w:rFonts w:cstheme="minorHAnsi"/>
          <w:sz w:val="25"/>
          <w:szCs w:val="25"/>
        </w:rPr>
        <w:t xml:space="preserve">, em seu </w:t>
      </w:r>
      <w:r w:rsidRPr="00E428D9">
        <w:rPr>
          <w:rFonts w:cstheme="minorHAnsi"/>
          <w:b/>
          <w:bCs/>
          <w:sz w:val="25"/>
          <w:szCs w:val="25"/>
        </w:rPr>
        <w:t>ARTIGO 15, INCISO XIV</w:t>
      </w:r>
      <w:r w:rsidRPr="003767E9">
        <w:rPr>
          <w:rFonts w:cstheme="minorHAnsi"/>
          <w:sz w:val="25"/>
          <w:szCs w:val="25"/>
        </w:rPr>
        <w:t>, dispõe sobre a exigência de autorização legal prévia da Câmara Municipal para a assinatura de convênios pelo Executivo Municipal.</w:t>
      </w:r>
    </w:p>
    <w:p w14:paraId="0DBB6FC5" w14:textId="77777777" w:rsidR="003767E9" w:rsidRPr="003767E9" w:rsidRDefault="003767E9" w:rsidP="003767E9">
      <w:pPr>
        <w:spacing w:line="240" w:lineRule="auto"/>
        <w:jc w:val="both"/>
        <w:rPr>
          <w:rFonts w:cstheme="minorHAnsi"/>
          <w:sz w:val="25"/>
          <w:szCs w:val="25"/>
        </w:rPr>
      </w:pPr>
      <w:r w:rsidRPr="003767E9">
        <w:rPr>
          <w:rFonts w:cstheme="minorHAnsi"/>
          <w:sz w:val="25"/>
          <w:szCs w:val="25"/>
        </w:rPr>
        <w:t xml:space="preserve">A redação do Projeto está de acordo com os requisitos requeridos pela técnica legislativa e repassa a mensagem desejada. </w:t>
      </w:r>
    </w:p>
    <w:p w14:paraId="6ABB90FC" w14:textId="63391DD2" w:rsidR="003767E9" w:rsidRPr="003767E9" w:rsidRDefault="003767E9" w:rsidP="003767E9">
      <w:pPr>
        <w:spacing w:line="240" w:lineRule="auto"/>
        <w:jc w:val="both"/>
        <w:rPr>
          <w:rFonts w:cstheme="minorHAnsi"/>
          <w:sz w:val="25"/>
          <w:szCs w:val="25"/>
        </w:rPr>
      </w:pPr>
      <w:r w:rsidRPr="003767E9">
        <w:rPr>
          <w:rFonts w:cstheme="minorHAnsi"/>
          <w:sz w:val="25"/>
          <w:szCs w:val="25"/>
        </w:rPr>
        <w:t xml:space="preserve">O objeto do </w:t>
      </w:r>
      <w:r w:rsidRPr="00E428D9">
        <w:rPr>
          <w:rFonts w:cstheme="minorHAnsi"/>
          <w:b/>
          <w:bCs/>
          <w:sz w:val="25"/>
          <w:szCs w:val="25"/>
        </w:rPr>
        <w:t>Projeto de Lei nº 4.76</w:t>
      </w:r>
      <w:r w:rsidR="00E428D9">
        <w:rPr>
          <w:rFonts w:cstheme="minorHAnsi"/>
          <w:b/>
          <w:bCs/>
          <w:sz w:val="25"/>
          <w:szCs w:val="25"/>
        </w:rPr>
        <w:t>2</w:t>
      </w:r>
      <w:r w:rsidRPr="00E428D9">
        <w:rPr>
          <w:rFonts w:cstheme="minorHAnsi"/>
          <w:b/>
          <w:bCs/>
          <w:sz w:val="25"/>
          <w:szCs w:val="25"/>
        </w:rPr>
        <w:t>/2026</w:t>
      </w:r>
      <w:r w:rsidRPr="003767E9">
        <w:rPr>
          <w:rFonts w:cstheme="minorHAnsi"/>
          <w:sz w:val="25"/>
          <w:szCs w:val="25"/>
        </w:rPr>
        <w:t xml:space="preserve"> não contraria normas legais ou constitucionais, portanto não existe inviabilidade técnica ou vício de iniciativa em sua propositura devendo seguir regular tramitação</w:t>
      </w:r>
      <w:r w:rsidRPr="003767E9">
        <w:rPr>
          <w:rFonts w:cstheme="minorHAnsi"/>
          <w:sz w:val="25"/>
          <w:szCs w:val="25"/>
        </w:rPr>
        <w:tab/>
      </w:r>
      <w:r w:rsidRPr="003767E9">
        <w:rPr>
          <w:rFonts w:cstheme="minorHAnsi"/>
          <w:sz w:val="25"/>
          <w:szCs w:val="25"/>
        </w:rPr>
        <w:tab/>
      </w:r>
    </w:p>
    <w:p w14:paraId="38B60B22" w14:textId="77777777" w:rsidR="003767E9" w:rsidRPr="003767E9" w:rsidRDefault="003767E9" w:rsidP="00E428D9">
      <w:pPr>
        <w:spacing w:line="240" w:lineRule="auto"/>
        <w:jc w:val="center"/>
        <w:rPr>
          <w:rFonts w:cstheme="minorHAnsi"/>
          <w:sz w:val="25"/>
          <w:szCs w:val="25"/>
        </w:rPr>
      </w:pPr>
      <w:r w:rsidRPr="003767E9">
        <w:rPr>
          <w:rFonts w:cstheme="minorHAnsi"/>
          <w:sz w:val="25"/>
          <w:szCs w:val="25"/>
        </w:rPr>
        <w:t>É o nosso parecer, s.m.j.</w:t>
      </w:r>
    </w:p>
    <w:p w14:paraId="3AD5ED4C" w14:textId="77777777" w:rsidR="003767E9" w:rsidRPr="003767E9" w:rsidRDefault="003767E9" w:rsidP="00E428D9">
      <w:pPr>
        <w:spacing w:line="240" w:lineRule="auto"/>
        <w:jc w:val="center"/>
        <w:rPr>
          <w:rFonts w:cstheme="minorHAnsi"/>
          <w:sz w:val="25"/>
          <w:szCs w:val="25"/>
        </w:rPr>
      </w:pPr>
      <w:r w:rsidRPr="003767E9">
        <w:rPr>
          <w:rFonts w:cstheme="minorHAnsi"/>
          <w:sz w:val="25"/>
          <w:szCs w:val="25"/>
        </w:rPr>
        <w:t xml:space="preserve">Monte Carmelo, 11 de </w:t>
      </w:r>
      <w:proofErr w:type="gramStart"/>
      <w:r w:rsidRPr="003767E9">
        <w:rPr>
          <w:rFonts w:cstheme="minorHAnsi"/>
          <w:sz w:val="25"/>
          <w:szCs w:val="25"/>
        </w:rPr>
        <w:t>Junho  de</w:t>
      </w:r>
      <w:proofErr w:type="gramEnd"/>
      <w:r w:rsidRPr="003767E9">
        <w:rPr>
          <w:rFonts w:cstheme="minorHAnsi"/>
          <w:sz w:val="25"/>
          <w:szCs w:val="25"/>
        </w:rPr>
        <w:t xml:space="preserve"> 2026.</w:t>
      </w:r>
    </w:p>
    <w:p w14:paraId="3BFD3D33" w14:textId="77777777" w:rsidR="003767E9" w:rsidRPr="00E428D9" w:rsidRDefault="003767E9" w:rsidP="00E428D9">
      <w:pPr>
        <w:spacing w:line="240" w:lineRule="auto"/>
        <w:jc w:val="center"/>
        <w:rPr>
          <w:rFonts w:cstheme="minorHAnsi"/>
          <w:b/>
          <w:bCs/>
          <w:sz w:val="25"/>
          <w:szCs w:val="25"/>
        </w:rPr>
      </w:pPr>
      <w:r w:rsidRPr="00E428D9">
        <w:rPr>
          <w:rFonts w:cstheme="minorHAnsi"/>
          <w:b/>
          <w:bCs/>
          <w:sz w:val="25"/>
          <w:szCs w:val="25"/>
        </w:rPr>
        <w:t>LUCIANO LIMIRIO DE CARVALHO</w:t>
      </w:r>
    </w:p>
    <w:p w14:paraId="7D219707" w14:textId="77777777" w:rsidR="003767E9" w:rsidRPr="00E428D9" w:rsidRDefault="003767E9" w:rsidP="00E428D9">
      <w:pPr>
        <w:spacing w:line="240" w:lineRule="auto"/>
        <w:jc w:val="center"/>
        <w:rPr>
          <w:rFonts w:cstheme="minorHAnsi"/>
          <w:b/>
          <w:bCs/>
          <w:sz w:val="25"/>
          <w:szCs w:val="25"/>
        </w:rPr>
      </w:pPr>
      <w:r w:rsidRPr="00E428D9">
        <w:rPr>
          <w:rFonts w:cstheme="minorHAnsi"/>
          <w:b/>
          <w:bCs/>
          <w:sz w:val="25"/>
          <w:szCs w:val="25"/>
        </w:rPr>
        <w:t>PROCURADOR</w:t>
      </w:r>
    </w:p>
    <w:p w14:paraId="7CB05090" w14:textId="0CABEF04" w:rsidR="003767E9" w:rsidRPr="002F7236" w:rsidRDefault="003767E9" w:rsidP="00E428D9">
      <w:pPr>
        <w:spacing w:line="240" w:lineRule="auto"/>
        <w:jc w:val="center"/>
        <w:rPr>
          <w:rFonts w:cstheme="minorHAnsi"/>
          <w:b/>
          <w:bCs/>
          <w:sz w:val="24"/>
          <w:szCs w:val="24"/>
        </w:rPr>
      </w:pPr>
      <w:r w:rsidRPr="003767E9">
        <w:rPr>
          <w:rFonts w:cstheme="minorHAnsi"/>
          <w:b/>
          <w:bCs/>
          <w:sz w:val="24"/>
          <w:szCs w:val="24"/>
        </w:rPr>
        <w:t>OAB/MG 52.672</w:t>
      </w:r>
    </w:p>
    <w:sectPr w:rsidR="003767E9" w:rsidRPr="002F7236" w:rsidSect="00AB4C04">
      <w:headerReference w:type="default" r:id="rId8"/>
      <w:footerReference w:type="default" r:id="rId9"/>
      <w:pgSz w:w="11906" w:h="16838"/>
      <w:pgMar w:top="1908" w:right="707"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C398" w14:textId="77777777" w:rsidR="00A40967" w:rsidRDefault="00A40967" w:rsidP="006341E5">
      <w:pPr>
        <w:spacing w:after="0" w:line="240" w:lineRule="auto"/>
      </w:pPr>
      <w:r>
        <w:separator/>
      </w:r>
    </w:p>
  </w:endnote>
  <w:endnote w:type="continuationSeparator" w:id="0">
    <w:p w14:paraId="299CC51D" w14:textId="77777777" w:rsidR="00A40967" w:rsidRDefault="00A40967" w:rsidP="0063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
    <w:altName w:val="Arial"/>
    <w:charset w:val="01"/>
    <w:family w:val="swiss"/>
    <w:pitch w:val="default"/>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BE95" w14:textId="4C87D0B7" w:rsidR="00E822A2" w:rsidRDefault="00E822A2" w:rsidP="006341E5">
    <w:pPr>
      <w:pStyle w:val="Rodap"/>
      <w:ind w:left="-1701"/>
      <w:rPr>
        <w:noProof/>
      </w:rPr>
    </w:pPr>
  </w:p>
  <w:p w14:paraId="654F6A19" w14:textId="1C40FBE2" w:rsidR="00E822A2" w:rsidRDefault="00E822A2" w:rsidP="006341E5">
    <w:pPr>
      <w:pStyle w:val="Rodap"/>
      <w:ind w:left="-1701"/>
    </w:pPr>
    <w:r>
      <w:rPr>
        <w:noProof/>
        <w:lang w:eastAsia="pt-BR"/>
      </w:rPr>
      <w:drawing>
        <wp:inline distT="0" distB="0" distL="0" distR="0" wp14:anchorId="7941C6CC" wp14:editId="11101618">
          <wp:extent cx="8851900" cy="995638"/>
          <wp:effectExtent l="0" t="0" r="0" b="0"/>
          <wp:docPr id="12090411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4734" cy="10229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F950" w14:textId="77777777" w:rsidR="00A40967" w:rsidRDefault="00A40967" w:rsidP="006341E5">
      <w:pPr>
        <w:spacing w:after="0" w:line="240" w:lineRule="auto"/>
      </w:pPr>
      <w:r>
        <w:separator/>
      </w:r>
    </w:p>
  </w:footnote>
  <w:footnote w:type="continuationSeparator" w:id="0">
    <w:p w14:paraId="78456301" w14:textId="77777777" w:rsidR="00A40967" w:rsidRDefault="00A40967" w:rsidP="0063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509E" w14:textId="4355A473" w:rsidR="00E822A2" w:rsidRDefault="00000000">
    <w:pPr>
      <w:pStyle w:val="Cabealho"/>
    </w:pPr>
    <w:sdt>
      <w:sdtPr>
        <w:id w:val="-1893417702"/>
        <w:docPartObj>
          <w:docPartGallery w:val="Page Numbers (Margins)"/>
          <w:docPartUnique/>
        </w:docPartObj>
      </w:sdtPr>
      <w:sdtContent>
        <w:r w:rsidR="00E822A2">
          <w:rPr>
            <w:rFonts w:asciiTheme="majorHAnsi" w:eastAsiaTheme="majorEastAsia" w:hAnsiTheme="majorHAnsi" w:cstheme="majorBidi"/>
            <w:noProof/>
            <w:sz w:val="28"/>
            <w:szCs w:val="28"/>
            <w:lang w:eastAsia="pt-BR"/>
          </w:rPr>
          <mc:AlternateContent>
            <mc:Choice Requires="wps">
              <w:drawing>
                <wp:anchor distT="0" distB="0" distL="114300" distR="114300" simplePos="0" relativeHeight="251660288" behindDoc="0" locked="0" layoutInCell="0" allowOverlap="1" wp14:anchorId="54720163" wp14:editId="59D2C544">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AC0D1B" w14:textId="77777777" w:rsidR="00E822A2" w:rsidRDefault="00E822A2">
                              <w:pPr>
                                <w:rPr>
                                  <w:rStyle w:val="Nmerodepgina"/>
                                  <w:color w:val="FFFFFF" w:themeColor="background1"/>
                                  <w:szCs w:val="24"/>
                                </w:rPr>
                              </w:pPr>
                              <w:r>
                                <w:fldChar w:fldCharType="begin"/>
                              </w:r>
                              <w:r>
                                <w:instrText>PAGE    \* MERGEFORMAT</w:instrText>
                              </w:r>
                              <w:r>
                                <w:fldChar w:fldCharType="separate"/>
                              </w:r>
                              <w:r w:rsidR="00E67826" w:rsidRPr="00E67826">
                                <w:rPr>
                                  <w:rStyle w:val="Nmerodepgina"/>
                                  <w:b/>
                                  <w:bCs/>
                                  <w:noProof/>
                                  <w:color w:val="FFFFFF" w:themeColor="background1"/>
                                  <w:sz w:val="24"/>
                                  <w:szCs w:val="24"/>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20163" id="Elipse 1"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34AC0D1B" w14:textId="77777777" w:rsidR="00E822A2" w:rsidRDefault="00E822A2">
                        <w:pPr>
                          <w:rPr>
                            <w:rStyle w:val="Nmerodepgina"/>
                            <w:color w:val="FFFFFF" w:themeColor="background1"/>
                            <w:szCs w:val="24"/>
                          </w:rPr>
                        </w:pPr>
                        <w:r>
                          <w:fldChar w:fldCharType="begin"/>
                        </w:r>
                        <w:r>
                          <w:instrText>PAGE    \* MERGEFORMAT</w:instrText>
                        </w:r>
                        <w:r>
                          <w:fldChar w:fldCharType="separate"/>
                        </w:r>
                        <w:r w:rsidR="00E67826" w:rsidRPr="00E67826">
                          <w:rPr>
                            <w:rStyle w:val="Nmerodepgina"/>
                            <w:b/>
                            <w:bCs/>
                            <w:noProof/>
                            <w:color w:val="FFFFFF" w:themeColor="background1"/>
                            <w:sz w:val="24"/>
                            <w:szCs w:val="24"/>
                          </w:rPr>
                          <w:t>1</w:t>
                        </w:r>
                        <w:r>
                          <w:rPr>
                            <w:rStyle w:val="Nmerodepgina"/>
                            <w:b/>
                            <w:bCs/>
                            <w:color w:val="FFFFFF" w:themeColor="background1"/>
                            <w:sz w:val="24"/>
                            <w:szCs w:val="24"/>
                          </w:rPr>
                          <w:fldChar w:fldCharType="end"/>
                        </w:r>
                      </w:p>
                    </w:txbxContent>
                  </v:textbox>
                  <w10:wrap anchorx="margin" anchory="page"/>
                </v:oval>
              </w:pict>
            </mc:Fallback>
          </mc:AlternateContent>
        </w:r>
      </w:sdtContent>
    </w:sdt>
    <w:r w:rsidR="00E822A2">
      <w:rPr>
        <w:noProof/>
        <w:lang w:eastAsia="pt-BR"/>
      </w:rPr>
      <w:drawing>
        <wp:anchor distT="0" distB="0" distL="114300" distR="114300" simplePos="0" relativeHeight="251658240" behindDoc="0" locked="0" layoutInCell="1" allowOverlap="1" wp14:anchorId="4F332DD0" wp14:editId="5794607F">
          <wp:simplePos x="0" y="0"/>
          <wp:positionH relativeFrom="page">
            <wp:posOffset>38100</wp:posOffset>
          </wp:positionH>
          <wp:positionV relativeFrom="paragraph">
            <wp:posOffset>-421005</wp:posOffset>
          </wp:positionV>
          <wp:extent cx="7974330" cy="1110615"/>
          <wp:effectExtent l="0" t="0" r="7620" b="0"/>
          <wp:wrapSquare wrapText="bothSides"/>
          <wp:docPr id="1292481269" name="Imagem 129248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4330" cy="1110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227"/>
    <w:multiLevelType w:val="hybridMultilevel"/>
    <w:tmpl w:val="BE7AE294"/>
    <w:lvl w:ilvl="0" w:tplc="7DC0AB2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1126D85"/>
    <w:multiLevelType w:val="hybridMultilevel"/>
    <w:tmpl w:val="AB14C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3D78CF"/>
    <w:multiLevelType w:val="multilevel"/>
    <w:tmpl w:val="D19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E651F"/>
    <w:multiLevelType w:val="multilevel"/>
    <w:tmpl w:val="39EED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B5925"/>
    <w:multiLevelType w:val="multilevel"/>
    <w:tmpl w:val="46B62C4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52D50D8E"/>
    <w:multiLevelType w:val="multilevel"/>
    <w:tmpl w:val="693E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30C04"/>
    <w:multiLevelType w:val="hybridMultilevel"/>
    <w:tmpl w:val="F000B1B0"/>
    <w:lvl w:ilvl="0" w:tplc="95CE77E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E40B1D"/>
    <w:multiLevelType w:val="hybridMultilevel"/>
    <w:tmpl w:val="08CA7800"/>
    <w:lvl w:ilvl="0" w:tplc="00CCCD7E">
      <w:start w:val="3"/>
      <w:numFmt w:val="bullet"/>
      <w:lvlText w:val=""/>
      <w:lvlJc w:val="left"/>
      <w:pPr>
        <w:ind w:left="1065" w:hanging="360"/>
      </w:pPr>
      <w:rPr>
        <w:rFonts w:ascii="Symbol" w:eastAsiaTheme="minorHAnsi" w:hAnsi="Symbol" w:cstheme="minorHAnsi" w:hint="default"/>
        <w:color w:val="auto"/>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15:restartNumberingAfterBreak="0">
    <w:nsid w:val="6F113B8D"/>
    <w:multiLevelType w:val="hybridMultilevel"/>
    <w:tmpl w:val="44AE31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2767B30"/>
    <w:multiLevelType w:val="multilevel"/>
    <w:tmpl w:val="76A4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377400">
    <w:abstractNumId w:val="4"/>
  </w:num>
  <w:num w:numId="2" w16cid:durableId="440225621">
    <w:abstractNumId w:val="9"/>
  </w:num>
  <w:num w:numId="3" w16cid:durableId="736975532">
    <w:abstractNumId w:val="7"/>
  </w:num>
  <w:num w:numId="4" w16cid:durableId="2034572252">
    <w:abstractNumId w:val="5"/>
  </w:num>
  <w:num w:numId="5" w16cid:durableId="1040857867">
    <w:abstractNumId w:val="1"/>
  </w:num>
  <w:num w:numId="6" w16cid:durableId="1298881033">
    <w:abstractNumId w:val="6"/>
  </w:num>
  <w:num w:numId="7" w16cid:durableId="632910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643392">
    <w:abstractNumId w:val="8"/>
  </w:num>
  <w:num w:numId="9" w16cid:durableId="592980230">
    <w:abstractNumId w:val="2"/>
  </w:num>
  <w:num w:numId="10" w16cid:durableId="77995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E5"/>
    <w:rsid w:val="00002CEE"/>
    <w:rsid w:val="000154EB"/>
    <w:rsid w:val="000163E1"/>
    <w:rsid w:val="00022CEB"/>
    <w:rsid w:val="00040CCA"/>
    <w:rsid w:val="000415FE"/>
    <w:rsid w:val="00076504"/>
    <w:rsid w:val="00080B36"/>
    <w:rsid w:val="000A3E46"/>
    <w:rsid w:val="000A69B1"/>
    <w:rsid w:val="000C2840"/>
    <w:rsid w:val="000D4606"/>
    <w:rsid w:val="000D6085"/>
    <w:rsid w:val="000F51D4"/>
    <w:rsid w:val="000F5548"/>
    <w:rsid w:val="0010481B"/>
    <w:rsid w:val="00110D22"/>
    <w:rsid w:val="00152429"/>
    <w:rsid w:val="00175974"/>
    <w:rsid w:val="00192D6B"/>
    <w:rsid w:val="001944C0"/>
    <w:rsid w:val="001A147D"/>
    <w:rsid w:val="001B3522"/>
    <w:rsid w:val="001C0787"/>
    <w:rsid w:val="001C401B"/>
    <w:rsid w:val="001C75B8"/>
    <w:rsid w:val="001E4572"/>
    <w:rsid w:val="001F08BA"/>
    <w:rsid w:val="0020717B"/>
    <w:rsid w:val="00217384"/>
    <w:rsid w:val="0021739E"/>
    <w:rsid w:val="0022345B"/>
    <w:rsid w:val="00230E7B"/>
    <w:rsid w:val="00252333"/>
    <w:rsid w:val="002606AA"/>
    <w:rsid w:val="00272350"/>
    <w:rsid w:val="00272CCA"/>
    <w:rsid w:val="002A67A6"/>
    <w:rsid w:val="002C33DD"/>
    <w:rsid w:val="002C73C1"/>
    <w:rsid w:val="002E633F"/>
    <w:rsid w:val="002F7236"/>
    <w:rsid w:val="003078DF"/>
    <w:rsid w:val="00317167"/>
    <w:rsid w:val="003236B2"/>
    <w:rsid w:val="00324775"/>
    <w:rsid w:val="00325DAC"/>
    <w:rsid w:val="0032618D"/>
    <w:rsid w:val="00326441"/>
    <w:rsid w:val="00332BFC"/>
    <w:rsid w:val="00337469"/>
    <w:rsid w:val="00360112"/>
    <w:rsid w:val="00375C9C"/>
    <w:rsid w:val="003767E9"/>
    <w:rsid w:val="00383E85"/>
    <w:rsid w:val="00397779"/>
    <w:rsid w:val="003B4702"/>
    <w:rsid w:val="003B5B08"/>
    <w:rsid w:val="003D36D8"/>
    <w:rsid w:val="003D51DE"/>
    <w:rsid w:val="003E2B52"/>
    <w:rsid w:val="003E52A6"/>
    <w:rsid w:val="003F48A9"/>
    <w:rsid w:val="00402765"/>
    <w:rsid w:val="00413636"/>
    <w:rsid w:val="00436CEF"/>
    <w:rsid w:val="0044288C"/>
    <w:rsid w:val="004438DD"/>
    <w:rsid w:val="0045189A"/>
    <w:rsid w:val="00465D83"/>
    <w:rsid w:val="004A3282"/>
    <w:rsid w:val="004B33E8"/>
    <w:rsid w:val="004D5524"/>
    <w:rsid w:val="005100EC"/>
    <w:rsid w:val="00530965"/>
    <w:rsid w:val="00537B3D"/>
    <w:rsid w:val="00541A2D"/>
    <w:rsid w:val="00554F3C"/>
    <w:rsid w:val="00556C27"/>
    <w:rsid w:val="00567E59"/>
    <w:rsid w:val="00570CCE"/>
    <w:rsid w:val="00587093"/>
    <w:rsid w:val="005C10C9"/>
    <w:rsid w:val="005C527A"/>
    <w:rsid w:val="005C70CC"/>
    <w:rsid w:val="005D005E"/>
    <w:rsid w:val="005E1882"/>
    <w:rsid w:val="005E4803"/>
    <w:rsid w:val="00601A3E"/>
    <w:rsid w:val="00607735"/>
    <w:rsid w:val="00621A71"/>
    <w:rsid w:val="006341E5"/>
    <w:rsid w:val="00655A9C"/>
    <w:rsid w:val="00661379"/>
    <w:rsid w:val="00666E7A"/>
    <w:rsid w:val="006672EA"/>
    <w:rsid w:val="006672EE"/>
    <w:rsid w:val="00693C60"/>
    <w:rsid w:val="006A7CFD"/>
    <w:rsid w:val="006B5F51"/>
    <w:rsid w:val="006C2997"/>
    <w:rsid w:val="006D28A2"/>
    <w:rsid w:val="006E2AEB"/>
    <w:rsid w:val="006E7EC7"/>
    <w:rsid w:val="00704B13"/>
    <w:rsid w:val="007052B7"/>
    <w:rsid w:val="00706252"/>
    <w:rsid w:val="00710E09"/>
    <w:rsid w:val="00713244"/>
    <w:rsid w:val="007238DF"/>
    <w:rsid w:val="00732B4D"/>
    <w:rsid w:val="007441D6"/>
    <w:rsid w:val="00745E57"/>
    <w:rsid w:val="00751A74"/>
    <w:rsid w:val="00751B7D"/>
    <w:rsid w:val="00764E53"/>
    <w:rsid w:val="00765EA2"/>
    <w:rsid w:val="00791090"/>
    <w:rsid w:val="00794888"/>
    <w:rsid w:val="007A58B5"/>
    <w:rsid w:val="007A73A9"/>
    <w:rsid w:val="007A74B4"/>
    <w:rsid w:val="007B05F0"/>
    <w:rsid w:val="007C279F"/>
    <w:rsid w:val="007C67A8"/>
    <w:rsid w:val="007D7948"/>
    <w:rsid w:val="007F3755"/>
    <w:rsid w:val="007F5157"/>
    <w:rsid w:val="007F73F5"/>
    <w:rsid w:val="008102DB"/>
    <w:rsid w:val="008215EC"/>
    <w:rsid w:val="008260AE"/>
    <w:rsid w:val="00826924"/>
    <w:rsid w:val="00856ECD"/>
    <w:rsid w:val="00857BC3"/>
    <w:rsid w:val="00874307"/>
    <w:rsid w:val="00887B5C"/>
    <w:rsid w:val="00893291"/>
    <w:rsid w:val="00894303"/>
    <w:rsid w:val="00894420"/>
    <w:rsid w:val="008A380B"/>
    <w:rsid w:val="008C2B15"/>
    <w:rsid w:val="008C62DD"/>
    <w:rsid w:val="008C6D25"/>
    <w:rsid w:val="008D290D"/>
    <w:rsid w:val="00904DA2"/>
    <w:rsid w:val="0091675B"/>
    <w:rsid w:val="00920B3D"/>
    <w:rsid w:val="00933F6F"/>
    <w:rsid w:val="0094739A"/>
    <w:rsid w:val="00962300"/>
    <w:rsid w:val="0097323A"/>
    <w:rsid w:val="00974CAB"/>
    <w:rsid w:val="0099694C"/>
    <w:rsid w:val="009A7F4E"/>
    <w:rsid w:val="009B076B"/>
    <w:rsid w:val="009D48E7"/>
    <w:rsid w:val="009E1800"/>
    <w:rsid w:val="009E6E45"/>
    <w:rsid w:val="00A03642"/>
    <w:rsid w:val="00A30850"/>
    <w:rsid w:val="00A33939"/>
    <w:rsid w:val="00A40967"/>
    <w:rsid w:val="00A67602"/>
    <w:rsid w:val="00A70961"/>
    <w:rsid w:val="00A73A10"/>
    <w:rsid w:val="00A75252"/>
    <w:rsid w:val="00A908AA"/>
    <w:rsid w:val="00A92F70"/>
    <w:rsid w:val="00AA4988"/>
    <w:rsid w:val="00AB097E"/>
    <w:rsid w:val="00AB4C04"/>
    <w:rsid w:val="00AC7809"/>
    <w:rsid w:val="00AD031D"/>
    <w:rsid w:val="00AE3D2E"/>
    <w:rsid w:val="00AF12BB"/>
    <w:rsid w:val="00B0318F"/>
    <w:rsid w:val="00B04170"/>
    <w:rsid w:val="00B04C36"/>
    <w:rsid w:val="00B2038D"/>
    <w:rsid w:val="00B4107D"/>
    <w:rsid w:val="00B52D43"/>
    <w:rsid w:val="00B575D6"/>
    <w:rsid w:val="00B6568F"/>
    <w:rsid w:val="00B663C1"/>
    <w:rsid w:val="00B6730E"/>
    <w:rsid w:val="00B76A87"/>
    <w:rsid w:val="00B85392"/>
    <w:rsid w:val="00B85CF2"/>
    <w:rsid w:val="00B966BD"/>
    <w:rsid w:val="00B96D70"/>
    <w:rsid w:val="00BB6C3F"/>
    <w:rsid w:val="00BC70F7"/>
    <w:rsid w:val="00BD3400"/>
    <w:rsid w:val="00BD5251"/>
    <w:rsid w:val="00BE194E"/>
    <w:rsid w:val="00BF4FEE"/>
    <w:rsid w:val="00C030AB"/>
    <w:rsid w:val="00C0409D"/>
    <w:rsid w:val="00C150FC"/>
    <w:rsid w:val="00C220A9"/>
    <w:rsid w:val="00C35A10"/>
    <w:rsid w:val="00C44AA1"/>
    <w:rsid w:val="00C5485B"/>
    <w:rsid w:val="00C6116C"/>
    <w:rsid w:val="00CA4C6C"/>
    <w:rsid w:val="00CB4880"/>
    <w:rsid w:val="00CD1C1A"/>
    <w:rsid w:val="00CD5DBB"/>
    <w:rsid w:val="00CE126D"/>
    <w:rsid w:val="00CE6B8D"/>
    <w:rsid w:val="00D053EA"/>
    <w:rsid w:val="00D07AE2"/>
    <w:rsid w:val="00D15966"/>
    <w:rsid w:val="00D32CAF"/>
    <w:rsid w:val="00D36431"/>
    <w:rsid w:val="00D54798"/>
    <w:rsid w:val="00D63B51"/>
    <w:rsid w:val="00D6679F"/>
    <w:rsid w:val="00D712E3"/>
    <w:rsid w:val="00D80452"/>
    <w:rsid w:val="00D932AA"/>
    <w:rsid w:val="00D94CB7"/>
    <w:rsid w:val="00DA6980"/>
    <w:rsid w:val="00DE1143"/>
    <w:rsid w:val="00DE26B3"/>
    <w:rsid w:val="00DE4C0A"/>
    <w:rsid w:val="00E143DA"/>
    <w:rsid w:val="00E179A4"/>
    <w:rsid w:val="00E17C97"/>
    <w:rsid w:val="00E428D9"/>
    <w:rsid w:val="00E63C35"/>
    <w:rsid w:val="00E67826"/>
    <w:rsid w:val="00E70F04"/>
    <w:rsid w:val="00E822A2"/>
    <w:rsid w:val="00E95FBF"/>
    <w:rsid w:val="00EC28EF"/>
    <w:rsid w:val="00EE153A"/>
    <w:rsid w:val="00F0683C"/>
    <w:rsid w:val="00F07A96"/>
    <w:rsid w:val="00F2666C"/>
    <w:rsid w:val="00F33FCF"/>
    <w:rsid w:val="00F341DE"/>
    <w:rsid w:val="00F4242B"/>
    <w:rsid w:val="00F87E2F"/>
    <w:rsid w:val="00F97D49"/>
    <w:rsid w:val="00FA2324"/>
    <w:rsid w:val="00FA40E4"/>
    <w:rsid w:val="00FB0C82"/>
    <w:rsid w:val="00FB5906"/>
    <w:rsid w:val="00FC296C"/>
    <w:rsid w:val="00FD4D62"/>
    <w:rsid w:val="00FD5169"/>
    <w:rsid w:val="00FE282B"/>
    <w:rsid w:val="00FF7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CAA05"/>
  <w15:chartTrackingRefBased/>
  <w15:docId w15:val="{607F271A-2F80-43B2-B3CE-AF469D7B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21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0C284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t-BR"/>
      <w14:ligatures w14:val="none"/>
    </w:rPr>
  </w:style>
  <w:style w:type="paragraph" w:styleId="Ttulo5">
    <w:name w:val="heading 5"/>
    <w:basedOn w:val="Normal"/>
    <w:next w:val="Normal"/>
    <w:link w:val="Ttulo5Char"/>
    <w:uiPriority w:val="9"/>
    <w:semiHidden/>
    <w:unhideWhenUsed/>
    <w:qFormat/>
    <w:rsid w:val="00DA698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41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1E5"/>
  </w:style>
  <w:style w:type="paragraph" w:styleId="Rodap">
    <w:name w:val="footer"/>
    <w:basedOn w:val="Normal"/>
    <w:link w:val="RodapChar"/>
    <w:uiPriority w:val="99"/>
    <w:unhideWhenUsed/>
    <w:rsid w:val="006341E5"/>
    <w:pPr>
      <w:tabs>
        <w:tab w:val="center" w:pos="4252"/>
        <w:tab w:val="right" w:pos="8504"/>
      </w:tabs>
      <w:spacing w:after="0" w:line="240" w:lineRule="auto"/>
    </w:pPr>
  </w:style>
  <w:style w:type="character" w:customStyle="1" w:styleId="RodapChar">
    <w:name w:val="Rodapé Char"/>
    <w:basedOn w:val="Fontepargpadro"/>
    <w:link w:val="Rodap"/>
    <w:uiPriority w:val="99"/>
    <w:rsid w:val="006341E5"/>
  </w:style>
  <w:style w:type="paragraph" w:styleId="Textodenotaderodap">
    <w:name w:val="footnote text"/>
    <w:basedOn w:val="Normal"/>
    <w:link w:val="TextodenotaderodapChar"/>
    <w:unhideWhenUsed/>
    <w:rsid w:val="00B2038D"/>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rsid w:val="00B2038D"/>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rsid w:val="00B2038D"/>
    <w:rPr>
      <w:vertAlign w:val="superscript"/>
    </w:rPr>
  </w:style>
  <w:style w:type="character" w:styleId="Hyperlink">
    <w:name w:val="Hyperlink"/>
    <w:uiPriority w:val="99"/>
    <w:unhideWhenUsed/>
    <w:rsid w:val="00FA2324"/>
    <w:rPr>
      <w:color w:val="0000FF"/>
      <w:u w:val="single"/>
    </w:rPr>
  </w:style>
  <w:style w:type="paragraph" w:customStyle="1" w:styleId="artigo">
    <w:name w:val="artigo"/>
    <w:basedOn w:val="Normal"/>
    <w:rsid w:val="00FA232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tulo2Char">
    <w:name w:val="Título 2 Char"/>
    <w:basedOn w:val="Fontepargpadro"/>
    <w:link w:val="Ttulo2"/>
    <w:uiPriority w:val="9"/>
    <w:rsid w:val="000C2840"/>
    <w:rPr>
      <w:rFonts w:ascii="Times New Roman" w:eastAsia="Times New Roman" w:hAnsi="Times New Roman" w:cs="Times New Roman"/>
      <w:b/>
      <w:bCs/>
      <w:kern w:val="0"/>
      <w:sz w:val="36"/>
      <w:szCs w:val="36"/>
      <w:lang w:eastAsia="pt-BR"/>
      <w14:ligatures w14:val="none"/>
    </w:rPr>
  </w:style>
  <w:style w:type="paragraph" w:styleId="NormalWeb">
    <w:name w:val="Normal (Web)"/>
    <w:basedOn w:val="Normal"/>
    <w:uiPriority w:val="99"/>
    <w:unhideWhenUsed/>
    <w:rsid w:val="000C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tulo1Char">
    <w:name w:val="Título 1 Char"/>
    <w:basedOn w:val="Fontepargpadro"/>
    <w:link w:val="Ttulo1"/>
    <w:uiPriority w:val="9"/>
    <w:rsid w:val="00621A71"/>
    <w:rPr>
      <w:rFonts w:asciiTheme="majorHAnsi" w:eastAsiaTheme="majorEastAsia" w:hAnsiTheme="majorHAnsi" w:cstheme="majorBidi"/>
      <w:color w:val="2F5496" w:themeColor="accent1" w:themeShade="BF"/>
      <w:sz w:val="32"/>
      <w:szCs w:val="32"/>
    </w:rPr>
  </w:style>
  <w:style w:type="character" w:customStyle="1" w:styleId="oxzekf">
    <w:name w:val="oxzekf"/>
    <w:basedOn w:val="Fontepargpadro"/>
    <w:rsid w:val="00732B4D"/>
  </w:style>
  <w:style w:type="character" w:customStyle="1" w:styleId="uv3um">
    <w:name w:val="uv3um"/>
    <w:basedOn w:val="Fontepargpadro"/>
    <w:rsid w:val="00732B4D"/>
  </w:style>
  <w:style w:type="paragraph" w:styleId="Textodebalo">
    <w:name w:val="Balloon Text"/>
    <w:basedOn w:val="Normal"/>
    <w:link w:val="TextodebaloChar"/>
    <w:uiPriority w:val="99"/>
    <w:semiHidden/>
    <w:unhideWhenUsed/>
    <w:rsid w:val="00C0409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409D"/>
    <w:rPr>
      <w:rFonts w:ascii="Segoe UI" w:hAnsi="Segoe UI" w:cs="Segoe UI"/>
      <w:sz w:val="18"/>
      <w:szCs w:val="18"/>
    </w:rPr>
  </w:style>
  <w:style w:type="paragraph" w:customStyle="1" w:styleId="Default">
    <w:name w:val="Default"/>
    <w:rsid w:val="0020717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rte">
    <w:name w:val="Strong"/>
    <w:basedOn w:val="Fontepargpadro"/>
    <w:uiPriority w:val="22"/>
    <w:qFormat/>
    <w:rsid w:val="008102DB"/>
    <w:rPr>
      <w:b/>
      <w:bCs/>
    </w:rPr>
  </w:style>
  <w:style w:type="paragraph" w:customStyle="1" w:styleId="body-textroot2yfxu">
    <w:name w:val="body-text_root__2yfxu"/>
    <w:basedOn w:val="Normal"/>
    <w:rsid w:val="008102D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opic-law-referenceitemtexttflqp">
    <w:name w:val="topic-law-reference_itemtext__tflqp"/>
    <w:basedOn w:val="Fontepargpadro"/>
    <w:rsid w:val="008102DB"/>
  </w:style>
  <w:style w:type="paragraph" w:styleId="PargrafodaLista">
    <w:name w:val="List Paragraph"/>
    <w:basedOn w:val="Normal"/>
    <w:uiPriority w:val="34"/>
    <w:qFormat/>
    <w:rsid w:val="008102DB"/>
    <w:pPr>
      <w:ind w:left="720"/>
      <w:contextualSpacing/>
    </w:pPr>
  </w:style>
  <w:style w:type="character" w:styleId="nfase">
    <w:name w:val="Emphasis"/>
    <w:basedOn w:val="Fontepargpadro"/>
    <w:uiPriority w:val="20"/>
    <w:qFormat/>
    <w:rsid w:val="008C62DD"/>
    <w:rPr>
      <w:i/>
      <w:iCs/>
    </w:rPr>
  </w:style>
  <w:style w:type="character" w:styleId="Nmerodepgina">
    <w:name w:val="page number"/>
    <w:basedOn w:val="Fontepargpadro"/>
    <w:uiPriority w:val="99"/>
    <w:unhideWhenUsed/>
    <w:rsid w:val="003E52A6"/>
  </w:style>
  <w:style w:type="character" w:styleId="MenoPendente">
    <w:name w:val="Unresolved Mention"/>
    <w:basedOn w:val="Fontepargpadro"/>
    <w:uiPriority w:val="99"/>
    <w:semiHidden/>
    <w:unhideWhenUsed/>
    <w:rsid w:val="00192D6B"/>
    <w:rPr>
      <w:color w:val="605E5C"/>
      <w:shd w:val="clear" w:color="auto" w:fill="E1DFDD"/>
    </w:rPr>
  </w:style>
  <w:style w:type="character" w:customStyle="1" w:styleId="Ttulo5Char">
    <w:name w:val="Título 5 Char"/>
    <w:basedOn w:val="Fontepargpadro"/>
    <w:link w:val="Ttulo5"/>
    <w:uiPriority w:val="9"/>
    <w:semiHidden/>
    <w:rsid w:val="00DA6980"/>
    <w:rPr>
      <w:rFonts w:asciiTheme="majorHAnsi" w:eastAsiaTheme="majorEastAsia" w:hAnsiTheme="majorHAnsi" w:cstheme="majorBidi"/>
      <w:color w:val="2F5496" w:themeColor="accent1" w:themeShade="BF"/>
    </w:rPr>
  </w:style>
  <w:style w:type="character" w:customStyle="1" w:styleId="fontstyle21">
    <w:name w:val="fontstyle21"/>
    <w:qFormat/>
    <w:rsid w:val="00272350"/>
    <w:rPr>
      <w:rFonts w:ascii="DejaVuSerif" w:hAnsi="DejaVuSerif"/>
      <w:b w:val="0"/>
      <w:bCs w:val="0"/>
      <w:i w:val="0"/>
      <w:iCs w:val="0"/>
      <w:color w:val="000000"/>
      <w:sz w:val="20"/>
      <w:szCs w:val="20"/>
    </w:rPr>
  </w:style>
  <w:style w:type="paragraph" w:customStyle="1" w:styleId="selectionshareable">
    <w:name w:val="selectionshareable"/>
    <w:basedOn w:val="Normal"/>
    <w:rsid w:val="000765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meproposicao">
    <w:name w:val="nomeproposicao"/>
    <w:basedOn w:val="Fontepargpadro"/>
    <w:rsid w:val="002F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7949">
      <w:bodyDiv w:val="1"/>
      <w:marLeft w:val="0"/>
      <w:marRight w:val="0"/>
      <w:marTop w:val="0"/>
      <w:marBottom w:val="0"/>
      <w:divBdr>
        <w:top w:val="none" w:sz="0" w:space="0" w:color="auto"/>
        <w:left w:val="none" w:sz="0" w:space="0" w:color="auto"/>
        <w:bottom w:val="none" w:sz="0" w:space="0" w:color="auto"/>
        <w:right w:val="none" w:sz="0" w:space="0" w:color="auto"/>
      </w:divBdr>
    </w:div>
    <w:div w:id="447509913">
      <w:bodyDiv w:val="1"/>
      <w:marLeft w:val="0"/>
      <w:marRight w:val="0"/>
      <w:marTop w:val="0"/>
      <w:marBottom w:val="0"/>
      <w:divBdr>
        <w:top w:val="none" w:sz="0" w:space="0" w:color="auto"/>
        <w:left w:val="none" w:sz="0" w:space="0" w:color="auto"/>
        <w:bottom w:val="none" w:sz="0" w:space="0" w:color="auto"/>
        <w:right w:val="none" w:sz="0" w:space="0" w:color="auto"/>
      </w:divBdr>
    </w:div>
    <w:div w:id="809905688">
      <w:bodyDiv w:val="1"/>
      <w:marLeft w:val="0"/>
      <w:marRight w:val="0"/>
      <w:marTop w:val="0"/>
      <w:marBottom w:val="0"/>
      <w:divBdr>
        <w:top w:val="none" w:sz="0" w:space="0" w:color="auto"/>
        <w:left w:val="none" w:sz="0" w:space="0" w:color="auto"/>
        <w:bottom w:val="none" w:sz="0" w:space="0" w:color="auto"/>
        <w:right w:val="none" w:sz="0" w:space="0" w:color="auto"/>
      </w:divBdr>
    </w:div>
    <w:div w:id="1045371049">
      <w:bodyDiv w:val="1"/>
      <w:marLeft w:val="0"/>
      <w:marRight w:val="0"/>
      <w:marTop w:val="0"/>
      <w:marBottom w:val="0"/>
      <w:divBdr>
        <w:top w:val="none" w:sz="0" w:space="0" w:color="auto"/>
        <w:left w:val="none" w:sz="0" w:space="0" w:color="auto"/>
        <w:bottom w:val="none" w:sz="0" w:space="0" w:color="auto"/>
        <w:right w:val="none" w:sz="0" w:space="0" w:color="auto"/>
      </w:divBdr>
    </w:div>
    <w:div w:id="1377583241">
      <w:bodyDiv w:val="1"/>
      <w:marLeft w:val="0"/>
      <w:marRight w:val="0"/>
      <w:marTop w:val="0"/>
      <w:marBottom w:val="0"/>
      <w:divBdr>
        <w:top w:val="none" w:sz="0" w:space="0" w:color="auto"/>
        <w:left w:val="none" w:sz="0" w:space="0" w:color="auto"/>
        <w:bottom w:val="none" w:sz="0" w:space="0" w:color="auto"/>
        <w:right w:val="none" w:sz="0" w:space="0" w:color="auto"/>
      </w:divBdr>
    </w:div>
    <w:div w:id="1506894258">
      <w:bodyDiv w:val="1"/>
      <w:marLeft w:val="0"/>
      <w:marRight w:val="0"/>
      <w:marTop w:val="0"/>
      <w:marBottom w:val="0"/>
      <w:divBdr>
        <w:top w:val="none" w:sz="0" w:space="0" w:color="auto"/>
        <w:left w:val="none" w:sz="0" w:space="0" w:color="auto"/>
        <w:bottom w:val="none" w:sz="0" w:space="0" w:color="auto"/>
        <w:right w:val="none" w:sz="0" w:space="0" w:color="auto"/>
      </w:divBdr>
    </w:div>
    <w:div w:id="1627347822">
      <w:bodyDiv w:val="1"/>
      <w:marLeft w:val="0"/>
      <w:marRight w:val="0"/>
      <w:marTop w:val="0"/>
      <w:marBottom w:val="0"/>
      <w:divBdr>
        <w:top w:val="none" w:sz="0" w:space="0" w:color="auto"/>
        <w:left w:val="none" w:sz="0" w:space="0" w:color="auto"/>
        <w:bottom w:val="none" w:sz="0" w:space="0" w:color="auto"/>
        <w:right w:val="none" w:sz="0" w:space="0" w:color="auto"/>
      </w:divBdr>
    </w:div>
    <w:div w:id="1736202676">
      <w:bodyDiv w:val="1"/>
      <w:marLeft w:val="0"/>
      <w:marRight w:val="0"/>
      <w:marTop w:val="0"/>
      <w:marBottom w:val="0"/>
      <w:divBdr>
        <w:top w:val="none" w:sz="0" w:space="0" w:color="auto"/>
        <w:left w:val="none" w:sz="0" w:space="0" w:color="auto"/>
        <w:bottom w:val="none" w:sz="0" w:space="0" w:color="auto"/>
        <w:right w:val="none" w:sz="0" w:space="0" w:color="auto"/>
      </w:divBdr>
    </w:div>
    <w:div w:id="1933128734">
      <w:bodyDiv w:val="1"/>
      <w:marLeft w:val="0"/>
      <w:marRight w:val="0"/>
      <w:marTop w:val="0"/>
      <w:marBottom w:val="0"/>
      <w:divBdr>
        <w:top w:val="none" w:sz="0" w:space="0" w:color="auto"/>
        <w:left w:val="none" w:sz="0" w:space="0" w:color="auto"/>
        <w:bottom w:val="none" w:sz="0" w:space="0" w:color="auto"/>
        <w:right w:val="none" w:sz="0" w:space="0" w:color="auto"/>
      </w:divBdr>
    </w:div>
    <w:div w:id="200890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0EA0-5493-4506-BF33-7AB26718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Frazao</dc:creator>
  <cp:keywords/>
  <dc:description/>
  <cp:lastModifiedBy>Luciano Limírio</cp:lastModifiedBy>
  <cp:revision>2</cp:revision>
  <cp:lastPrinted>2026-06-11T13:53:00Z</cp:lastPrinted>
  <dcterms:created xsi:type="dcterms:W3CDTF">2026-06-11T13:55:00Z</dcterms:created>
  <dcterms:modified xsi:type="dcterms:W3CDTF">2026-06-11T13:55:00Z</dcterms:modified>
</cp:coreProperties>
</file>